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29°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115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22 Luglio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61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115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 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giugno al 29 luglio,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44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26,</w:t>
      </w:r>
      <w:r w:rsidDel="00000000" w:rsidR="00000000" w:rsidRPr="00000000">
        <w:rPr>
          <w:sz w:val="24"/>
          <w:szCs w:val="24"/>
          <w:rtl w:val="0"/>
        </w:rPr>
        <w:t xml:space="preserve"> vigilanza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5,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amministrativo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4, </w:t>
      </w:r>
      <w:r w:rsidDel="00000000" w:rsidR="00000000" w:rsidRPr="00000000">
        <w:rPr>
          <w:sz w:val="24"/>
          <w:szCs w:val="24"/>
          <w:rtl w:val="0"/>
        </w:rPr>
        <w:t xml:space="preserve"> 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3,  </w:t>
      </w:r>
      <w:r w:rsidDel="00000000" w:rsidR="00000000" w:rsidRPr="00000000">
        <w:rPr>
          <w:sz w:val="24"/>
          <w:szCs w:val="24"/>
          <w:rtl w:val="0"/>
        </w:rPr>
        <w:t xml:space="preserve">servizi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terziario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3, </w:t>
      </w:r>
      <w:r w:rsidDel="00000000" w:rsidR="00000000" w:rsidRPr="00000000">
        <w:rPr>
          <w:sz w:val="24"/>
          <w:szCs w:val="24"/>
          <w:rtl w:val="0"/>
        </w:rPr>
        <w:t xml:space="preserve">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, logistica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informatico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impiantistica elettrica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commercio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termoidraulico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1 </w:t>
      </w:r>
      <w:r w:rsidDel="00000000" w:rsidR="00000000" w:rsidRPr="00000000">
        <w:rPr>
          <w:sz w:val="24"/>
          <w:szCs w:val="24"/>
          <w:rtl w:val="0"/>
        </w:rPr>
        <w:t xml:space="preserve">e contabile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0F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9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A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D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7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8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3E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3F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0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1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